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1-peter-3"/>
    <w:p>
      <w:pPr>
        <w:pStyle w:val="Heading1"/>
      </w:pPr>
      <w:r>
        <w:t xml:space="preserve">Homiletics Analysis: 1 Peter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Peter 3 divides into three movements that share a single underlying logic: faithful, humble conduct in the face of suffering and opposition. The chapter opens with instruction to wives in households where husbands are unbelieving or disobedient to the Word (vv. 1–6), grounding their conduct in the hope of winning their husbands through godly behavior rather than through argument. Peter then addresses husbands briefly but pointedly (v. 7), calling them to live with their wives with understanding and to honor them as co-heirs of grace, with the warning that disordered marriage disrupts prayer. The second movement (vv. 8–12) broadens to the whole community — a summary of the ethics of the people of God under pressure: unity, sympathy, humility, non-retaliation, and the pursuit of peace. The third and longest movement (vv. 13–22) addresses suffering for righteousness directly, calling believers to fearless, hope-grounded witness and anchoring that call in the sufficiency and supremacy of Christ’s own suffering — his death for sins, his proclamation to the spirits in prison, and his resurrection and exaltation to God’s right hand with all authorities subject to him. The baptism digression in vv. 20–21 is subordinate to this Christological grounding, not a freestanding sacramental argument.</w:t>
      </w:r>
    </w:p>
    <w:p>
      <w:pPr>
        <w:pStyle w:val="BodyText"/>
      </w:pPr>
      <w:r>
        <w:rPr>
          <w:b/>
          <w:bCs/>
        </w:rPr>
        <w:t xml:space="preserve">This Text — Intent</w:t>
      </w:r>
    </w:p>
    <w:p>
      <w:pPr>
        <w:pStyle w:val="BodyText"/>
      </w:pPr>
      <w:r>
        <w:t xml:space="preserve">God is seeking to free his people from the fear that collapses witness, causes retaliation, and produces either silent withdrawal or angry self-defense — and to replace that fear with the settled confidence that comes from setting Christ apart as Lord in the heart. The chapter does not primarily aim to give believers a code of conduct for difficult relationships; it aims to address the fear beneath the conduct failures. Every section — wives, husbands, the whole church, and the suffering servant — is organized around dislodging fear and installing Christ-centered confidence. The intent is that readers would stop managing their circumstances and start inhabiting the security that Christ’s exaltation provides.</w:t>
      </w:r>
    </w:p>
    <w:p>
      <w:r>
        <w:pict>
          <v:rect style="width:0;height:1.5pt" o:hralign="center" o:hrstd="t" o:hr="t"/>
        </w:pict>
      </w:r>
    </w:p>
    <w:p>
      <w:pPr>
        <w:pStyle w:val="FirstParagraph"/>
      </w:pPr>
      <w:r>
        <w:rPr>
          <w:b/>
          <w:bCs/>
        </w:rPr>
        <w:t xml:space="preserve">Subject Sentence:</w:t>
      </w:r>
      <w:r>
        <w:t xml:space="preserve"> </w:t>
      </w:r>
      <w:r>
        <w:t xml:space="preserve">Fearless, hope-grounded conduct in suffering flows from Christ’s lordship over all things.</w:t>
      </w:r>
    </w:p>
    <w:p>
      <w:r>
        <w:pict>
          <v:rect style="width:0;height:1.5pt" o:hralign="center" o:hrstd="t" o:hr="t"/>
        </w:pict>
      </w:r>
    </w:p>
    <w:p>
      <w:pPr>
        <w:pStyle w:val="FirstParagraph"/>
      </w:pPr>
      <w:r>
        <w:rPr>
          <w:b/>
          <w:bCs/>
        </w:rPr>
        <w:t xml:space="preserve">Primary Claim:</w:t>
      </w:r>
      <w:r>
        <w:t xml:space="preserve"> </w:t>
      </w:r>
      <w:r>
        <w:t xml:space="preserve">Because Christ has suffered for sins once for all, been raised, and been exalted over every authority, his people are freed from every fear that would silence their witness or corrupt their conduct — and they are called to live that freedom now, in their marriages, in their communities, and before a watching world.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household code (vv. 1–6) — complementarian, egalitarian, and cultural-accommodation readings</w:t>
      </w:r>
    </w:p>
    <w:p>
      <w:pPr>
        <w:pStyle w:val="BodyText"/>
      </w:pPr>
      <w:r>
        <w:t xml:space="preserve">The most significant contested terrain in this chapter is the nature and scope of Peter’s instruction to wives. Three readings compete. The</w:t>
      </w:r>
      <w:r>
        <w:t xml:space="preserve"> </w:t>
      </w:r>
      <w:r>
        <w:rPr>
          <w:i/>
          <w:iCs/>
        </w:rPr>
        <w:t xml:space="preserve">complementarian</w:t>
      </w:r>
      <w:r>
        <w:t xml:space="preserve"> </w:t>
      </w:r>
      <w:r>
        <w:t xml:space="preserve">reading treats vv. 1–6 as grounding wifely submission in a creational order that transcends cultural circumstance (supported by the appeal to Sarah and the</w:t>
      </w:r>
      <w:r>
        <w:t xml:space="preserve"> </w:t>
      </w:r>
      <w:r>
        <w:t xml:space="preserve">“holy women”</w:t>
      </w:r>
      <w:r>
        <w:t xml:space="preserve"> </w:t>
      </w:r>
      <w:r>
        <w:t xml:space="preserve">of old), with the primary aim being the evangelism of disobedient husbands through godly conduct. The</w:t>
      </w:r>
      <w:r>
        <w:t xml:space="preserve"> </w:t>
      </w:r>
      <w:r>
        <w:rPr>
          <w:i/>
          <w:iCs/>
        </w:rPr>
        <w:t xml:space="preserve">egalitarian</w:t>
      </w:r>
      <w:r>
        <w:t xml:space="preserve"> </w:t>
      </w:r>
      <w:r>
        <w:t xml:space="preserve">reading argues that Peter is addressing a specific first-century situation — women converting without their husbands, threatening household stability in a Roman social context — and that his instruction is culturally bounded accommodation rather than permanent norming structure. The</w:t>
      </w:r>
      <w:r>
        <w:t xml:space="preserve"> </w:t>
      </w:r>
      <w:r>
        <w:rPr>
          <w:i/>
          <w:iCs/>
        </w:rPr>
        <w:t xml:space="preserve">rhetorical-missional</w:t>
      </w:r>
      <w:r>
        <w:t xml:space="preserve"> </w:t>
      </w:r>
      <w:r>
        <w:t xml:space="preserve">reading (sometimes offered as a middle path) emphasizes that Peter’s primary concern is the evangelistic opportunity in a mixed-faith household, treating the submission language as missional strategy rather than either permanent structure or mere accommodation.</w:t>
      </w:r>
    </w:p>
    <w:p>
      <w:pPr>
        <w:pStyle w:val="BodyText"/>
      </w:pPr>
      <w:r>
        <w:t xml:space="preserve">The Reformed reading affirms the complementarian framework while preserving the passage’s own emphasis: Peter does ground the instruction in the example of the</w:t>
      </w:r>
      <w:r>
        <w:t xml:space="preserve"> </w:t>
      </w:r>
      <w:r>
        <w:t xml:space="preserve">“holy women”</w:t>
      </w:r>
      <w:r>
        <w:t xml:space="preserve"> </w:t>
      </w:r>
      <w:r>
        <w:t xml:space="preserve">of prior covenant generations and explicitly names Sarah’s submission to Abraham (vv. 5–6), which is not incidental cultural decoration. The appeal backward in redemptive history resists the purely situational reading. At the same time, the passage is not primarily a treatise on gender roles — it is a missional argument. Peter’s interest is in the power of godly conduct to accomplish what argument cannot: the winning of disobedient husbands. Egalitarian readings that collapse the structural language into pure accommodation underread the text; readings that make the primary claim about hierarchy rather than about the evangelistic power of holy living misplace the emphasis. The passage’s claim is:</w:t>
      </w:r>
      <w:r>
        <w:t xml:space="preserve"> </w:t>
      </w:r>
      <w:r>
        <w:rPr>
          <w:i/>
          <w:iCs/>
        </w:rPr>
        <w:t xml:space="preserve">holy conduct without a word can do what words alone cannot</w:t>
      </w:r>
      <w:r>
        <w:t xml:space="preserve"> </w:t>
      </w:r>
      <w:r>
        <w:t xml:space="preserve">— and that claim holds regardless of one’s position on the narrower structural questions.</w:t>
      </w:r>
    </w:p>
    <w:p>
      <w:pPr>
        <w:pStyle w:val="BodyText"/>
      </w:pPr>
      <w:r>
        <w:rPr>
          <w:b/>
          <w:bCs/>
        </w:rPr>
        <w:t xml:space="preserve">“Spirits in prison”</w:t>
      </w:r>
      <w:r>
        <w:rPr>
          <w:b/>
          <w:bCs/>
        </w:rPr>
        <w:t xml:space="preserve"> </w:t>
      </w:r>
      <w:r>
        <w:rPr>
          <w:b/>
          <w:bCs/>
        </w:rPr>
        <w:t xml:space="preserve">(v. 19) — the most significant exegetical crux in the chapter</w:t>
      </w:r>
    </w:p>
    <w:p>
      <w:pPr>
        <w:pStyle w:val="BodyText"/>
      </w:pPr>
      <w:r>
        <w:t xml:space="preserve">Three main interpretations of vv. 18–20 exist: (1)</w:t>
      </w:r>
      <w:r>
        <w:t xml:space="preserve"> </w:t>
      </w:r>
      <w:r>
        <w:rPr>
          <w:i/>
          <w:iCs/>
        </w:rPr>
        <w:t xml:space="preserve">Christ, in the Spirit, preached through Noah to the pre-flood generation</w:t>
      </w:r>
      <w:r>
        <w:t xml:space="preserve"> </w:t>
      </w:r>
      <w:r>
        <w:t xml:space="preserve">(Augustine, Calvin, Wayne Grudem) — a reading that avoids any descent into Hades and treats the</w:t>
      </w:r>
      <w:r>
        <w:t xml:space="preserve"> </w:t>
      </w:r>
      <w:r>
        <w:t xml:space="preserve">“spirits in prison”</w:t>
      </w:r>
      <w:r>
        <w:t xml:space="preserve"> </w:t>
      </w:r>
      <w:r>
        <w:t xml:space="preserve">as those who heard Noah’s preaching and are now held in judgment; (2)</w:t>
      </w:r>
      <w:r>
        <w:t xml:space="preserve"> </w:t>
      </w:r>
      <w:r>
        <w:rPr>
          <w:i/>
          <w:iCs/>
        </w:rPr>
        <w:t xml:space="preserve">Christ, between death and resurrection, descended to Hades and proclaimed victory (not a second chance for salvation) to fallen angels or imprisoned spirits</w:t>
      </w:r>
      <w:r>
        <w:t xml:space="preserve"> </w:t>
      </w:r>
      <w:r>
        <w:t xml:space="preserve">(a majority patristic reading, adopted by Grudem’s opponents including Dalton, Jobes); (3)</w:t>
      </w:r>
      <w:r>
        <w:t xml:space="preserve"> </w:t>
      </w:r>
      <w:r>
        <w:rPr>
          <w:i/>
          <w:iCs/>
        </w:rPr>
        <w:t xml:space="preserve">Christ descended to Hades and offered a second chance at salvation to the pre-flood dead</w:t>
      </w:r>
      <w:r>
        <w:t xml:space="preserve"> </w:t>
      </w:r>
      <w:r>
        <w:t xml:space="preserve">(minority reading, rejected across Reformed, Lutheran, and most evangelical traditions).</w:t>
      </w:r>
    </w:p>
    <w:p>
      <w:pPr>
        <w:pStyle w:val="BodyText"/>
      </w:pPr>
      <w:r>
        <w:t xml:space="preserve">The Reformed reading most consistently defended is (1) — the preexistent Christ, speaking through Noah’s preaching ministry, proclaimed to those who are now spirits in prison (i.e., dead and under judgment). This reading preserves the immediate contextual flow (Peter moves directly from Christ’s resurrection/Spirit-animation in v. 18 to his activity in and through the Spirit), avoids importing an unattested descent-to-Hades narrative, and aligns with Peter’s broader argument: Christ’s sufficiency extends across redemptive history. The second reading (proclamation of victory, not second-chance salvation) is held by serious scholars and is not heretical — if adopted, it must be accompanied by the firm insistence that v. 19 is proclamation of triumph, not a post-mortem opportunity for repentance.</w:t>
      </w:r>
    </w:p>
    <w:p>
      <w:pPr>
        <w:pStyle w:val="BodyText"/>
      </w:pPr>
      <w:r>
        <w:t xml:space="preserve">For preaching purposes: the exegetical crux is real and should be acknowledged, but it does not destabilize the passage’s Primary Claim. Whatever the precise interpretation of v. 19, Peter’s argument is that Christ’s suffering, death, resurrection, and exaltation — attested even in the deepest reaches of creation’s history — is the unshakeable ground of present fearless living. The preacher should not allow the puzzle of v. 19 to swallow the chapter.</w:t>
      </w:r>
    </w:p>
    <w:p>
      <w:pPr>
        <w:pStyle w:val="BodyText"/>
      </w:pPr>
      <w:r>
        <w:rPr>
          <w:b/>
          <w:bCs/>
        </w:rPr>
        <w:t xml:space="preserve">Baptism (vv. 20–21) — sacramentalist and memorialist misreadings</w:t>
      </w:r>
    </w:p>
    <w:p>
      <w:pPr>
        <w:pStyle w:val="BodyText"/>
      </w:pPr>
      <w:r>
        <w:t xml:space="preserve">The explicit language of v. 21 (</w:t>
      </w:r>
      <w:r>
        <w:t xml:space="preserve">“baptism now saves you”</w:t>
      </w:r>
      <w:r>
        <w:t xml:space="preserve">) has been pressed in two opposing directions. Roman Catholic and some Lutheran readings take the language to establish baptismal regeneration — the water itself conveying salvation. Baptist/memorialist readings strain to eliminate any connection between baptism and the reality it signifies, treating v. 21 as purely external symbol with no integral relation to salvation. Both overread in their direction.</w:t>
      </w:r>
    </w:p>
    <w:p>
      <w:pPr>
        <w:pStyle w:val="BodyText"/>
      </w:pPr>
      <w:r>
        <w:t xml:space="preserve">Peter himself guards against both errors in the same sentence:</w:t>
      </w:r>
      <w:r>
        <w:t xml:space="preserve"> </w:t>
      </w:r>
      <w:r>
        <w:t xml:space="preserve">“not the removal of dirt from the body but the pledge of a good conscience toward God.”</w:t>
      </w:r>
      <w:r>
        <w:t xml:space="preserve"> </w:t>
      </w:r>
      <w:r>
        <w:t xml:space="preserve">Baptism saves — as the</w:t>
      </w:r>
      <w:r>
        <w:t xml:space="preserve"> </w:t>
      </w:r>
      <w:r>
        <w:rPr>
          <w:i/>
          <w:iCs/>
        </w:rPr>
        <w:t xml:space="preserve">pledge/appeal</w:t>
      </w:r>
      <w:r>
        <w:t xml:space="preserve"> </w:t>
      </w:r>
      <w:r>
        <w:t xml:space="preserve">(Greek</w:t>
      </w:r>
      <w:r>
        <w:t xml:space="preserve"> </w:t>
      </w:r>
      <w:r>
        <w:rPr>
          <w:i/>
          <w:iCs/>
        </w:rPr>
        <w:t xml:space="preserve">eperotema</w:t>
      </w:r>
      <w:r>
        <w:t xml:space="preserve">), the decisive public declaration of faith and allegiance to Christ, whose resurrection is the actual ground of salvation. The water does not regenerate; the outward rite detached from what it pledges does not save. But baptism is not merely a symbol with no integral relation to what is real — it is the outward, embodied, covenantally enacted pledge of what is genuinely occurring in the soul’s turning to Christ. Reformed covenant theology handles this most naturally: baptism is the sign and seal of the covenant promise, efficacious not by the water but by the Spirit, and its integrity depends on the reality of the pledge it enacts.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53:4–6, 11–12</w:t>
      </w:r>
      <w:r>
        <w:t xml:space="preserve"> </w:t>
      </w:r>
      <w:r>
        <w:t xml:space="preserve">— The Servant bears sins, suffers for the righteous, and by his suffering justifies many; Peter’s</w:t>
      </w:r>
      <w:r>
        <w:t xml:space="preserve"> </w:t>
      </w:r>
      <w:r>
        <w:t xml:space="preserve">“he himself bore our sins in his body on the tree”</w:t>
      </w:r>
      <w:r>
        <w:t xml:space="preserve"> </w:t>
      </w:r>
      <w:r>
        <w:t xml:space="preserve">(v. 24 anticipates what 3:18 states explicitly) is a direct echo of Isaiah’s Servant Song, establishing that Christ’s once-for-all suffering is the fulfillment of the Servant’s redemptive work.</w:t>
      </w:r>
    </w:p>
    <w:p>
      <w:pPr>
        <w:numPr>
          <w:ilvl w:val="0"/>
          <w:numId w:val="1001"/>
        </w:numPr>
      </w:pPr>
      <w:r>
        <w:rPr>
          <w:b/>
          <w:bCs/>
        </w:rPr>
        <w:t xml:space="preserve">Psalm 34:12–16</w:t>
      </w:r>
      <w:r>
        <w:t xml:space="preserve"> </w:t>
      </w:r>
      <w:r>
        <w:t xml:space="preserve">(quoted in vv. 10–12) — Peter draws from this psalm to ground the ethics of non-retaliation and peace-seeking in the character and watchfulness of God — the LORD’s eyes are on the righteous and his ears attend to their cry; this canonical anchor shows that fearless, peace-seeking conduct is not naïve but theologically grounded.</w:t>
      </w:r>
    </w:p>
    <w:p>
      <w:pPr>
        <w:numPr>
          <w:ilvl w:val="0"/>
          <w:numId w:val="1001"/>
        </w:numPr>
      </w:pPr>
      <w:r>
        <w:rPr>
          <w:b/>
          <w:bCs/>
        </w:rPr>
        <w:t xml:space="preserve">Daniel 6 / Psalm 27:1</w:t>
      </w:r>
      <w:r>
        <w:t xml:space="preserve"> </w:t>
      </w:r>
      <w:r>
        <w:t xml:space="preserve">— The pattern of the righteous suffering unjustly yet maintained by God (Daniel in the lion’s den;</w:t>
      </w:r>
      <w:r>
        <w:t xml:space="preserve"> </w:t>
      </w:r>
      <w:r>
        <w:t xml:space="preserve">“The LORD is my light and my salvation — whom shall I fear?”</w:t>
      </w:r>
      <w:r>
        <w:t xml:space="preserve">) provides the canonical backdrop for Peter’s call to fearless witness; the exhortation</w:t>
      </w:r>
      <w:r>
        <w:t xml:space="preserve"> </w:t>
      </w:r>
      <w:r>
        <w:t xml:space="preserve">“do not fear their threats”</w:t>
      </w:r>
      <w:r>
        <w:t xml:space="preserve"> </w:t>
      </w:r>
      <w:r>
        <w:t xml:space="preserve">(v. 14, echoing Isaiah 8:12–13) belongs to a long tradition of God calling his people to set him apart rather than the threat.</w:t>
      </w:r>
    </w:p>
    <w:p>
      <w:pPr>
        <w:numPr>
          <w:ilvl w:val="0"/>
          <w:numId w:val="1001"/>
        </w:numPr>
      </w:pPr>
      <w:r>
        <w:rPr>
          <w:b/>
          <w:bCs/>
        </w:rPr>
        <w:t xml:space="preserve">Romans 8:31–34</w:t>
      </w:r>
      <w:r>
        <w:t xml:space="preserve"> </w:t>
      </w:r>
      <w:r>
        <w:t xml:space="preserve">— Paul’s argument in Romans 8 parallels Peter’s exactly: if God is for us, who can be against us? Christ who died, more than that, who was raised, is at God’s right hand interceding for us. Both writers ground present fearlessness in the accomplished fact of Christ’s resurrection and exaltation.</w:t>
      </w:r>
    </w:p>
    <w:p>
      <w:pPr>
        <w:numPr>
          <w:ilvl w:val="0"/>
          <w:numId w:val="1001"/>
        </w:numPr>
      </w:pPr>
      <w:r>
        <w:rPr>
          <w:b/>
          <w:bCs/>
        </w:rPr>
        <w:t xml:space="preserve">Ephesians 1:19–23 / Colossians 2:15</w:t>
      </w:r>
      <w:r>
        <w:t xml:space="preserve"> </w:t>
      </w:r>
      <w:r>
        <w:t xml:space="preserve">— Christ’s exaltation over</w:t>
      </w:r>
      <w:r>
        <w:t xml:space="preserve"> </w:t>
      </w:r>
      <w:r>
        <w:t xml:space="preserve">“angels and authorities and powers”</w:t>
      </w:r>
      <w:r>
        <w:t xml:space="preserve"> </w:t>
      </w:r>
      <w:r>
        <w:t xml:space="preserve">(1 Peter 3:22) is the same cosmic claim Paul makes in Ephesians and Colossians; the disarming of powers and authorities at the cross, and Christ’s installation at God’s right hand above every name, is the canonical framework within which Peter’s argument about fearless living makes ultimate sense.</w:t>
      </w:r>
    </w:p>
    <w:p>
      <w:r>
        <w:pict>
          <v:rect style="width:0;height:1.5pt" o:hralign="center" o:hrstd="t" o:hr="t"/>
        </w:pict>
      </w:r>
    </w:p>
    <w:p>
      <w:pPr>
        <w:pStyle w:val="FirstParagraph"/>
      </w:pPr>
      <w:r>
        <w:rPr>
          <w:b/>
          <w:bCs/>
        </w:rPr>
        <w:t xml:space="preserve">Aim:</w:t>
      </w:r>
      <w:r>
        <w:t xml:space="preserve"> </w:t>
      </w:r>
      <w:r>
        <w:t xml:space="preserve">To show that every failure of conduct — whether in marriage, community, or public witness — traces back to misplaced fear, and that Christ’s exaltation over every authority is the only cure.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Wives called to be subject to their own husbands, even those who are disobedient to the Word</w:t>
            </w:r>
          </w:p>
        </w:tc>
        <w:tc>
          <w:tcPr/>
          <w:p>
            <w:pPr>
              <w:pStyle w:val="Compact"/>
            </w:pPr>
            <w:r>
              <w:t xml:space="preserve">“Even if some do not obey the word”</w:t>
            </w:r>
            <w:r>
              <w:t xml:space="preserve"> </w:t>
            </w:r>
            <w:r>
              <w:t xml:space="preserve">— specifies mixed-faith households; not a universal evangelism technique but a specific missional argument</w:t>
            </w:r>
          </w:p>
        </w:tc>
      </w:tr>
      <w:tr>
        <w:tc>
          <w:tcPr/>
          <w:p>
            <w:pPr>
              <w:pStyle w:val="Compact"/>
            </w:pPr>
            <w:r>
              <w:t xml:space="preserve">3:1–2</w:t>
            </w:r>
          </w:p>
        </w:tc>
        <w:tc>
          <w:tcPr/>
          <w:p>
            <w:pPr>
              <w:pStyle w:val="Compact"/>
            </w:pPr>
            <w:r>
              <w:t xml:space="preserve">The means: conduct without a word — holy behavior that can be</w:t>
            </w:r>
            <w:r>
              <w:t xml:space="preserve"> </w:t>
            </w:r>
            <w:r>
              <w:t xml:space="preserve">“observed”</w:t>
            </w:r>
          </w:p>
        </w:tc>
        <w:tc>
          <w:tcPr/>
          <w:p>
            <w:pPr>
              <w:pStyle w:val="Compact"/>
            </w:pPr>
            <w:r>
              <w:t xml:space="preserve">Greek</w:t>
            </w:r>
            <w:r>
              <w:t xml:space="preserve"> </w:t>
            </w:r>
            <w:r>
              <w:rPr>
                <w:i/>
                <w:iCs/>
              </w:rPr>
              <w:t xml:space="preserve">epopteuō</w:t>
            </w:r>
            <w:r>
              <w:t xml:space="preserve"> </w:t>
            </w:r>
            <w:r>
              <w:t xml:space="preserve">— to observe carefully; the unbelieving husband will see what he cannot yet hear</w:t>
            </w:r>
          </w:p>
        </w:tc>
      </w:tr>
      <w:tr>
        <w:tc>
          <w:tcPr/>
          <w:p>
            <w:pPr>
              <w:pStyle w:val="Compact"/>
            </w:pPr>
            <w:r>
              <w:t xml:space="preserve">3:3–4</w:t>
            </w:r>
          </w:p>
        </w:tc>
        <w:tc>
          <w:tcPr/>
          <w:p>
            <w:pPr>
              <w:pStyle w:val="Compact"/>
            </w:pPr>
            <w:r>
              <w:t xml:space="preserve">External adornment contrasted with the hidden person of the heart — gentleness and quietness as imperishable beauty</w:t>
            </w:r>
          </w:p>
        </w:tc>
        <w:tc>
          <w:tcPr/>
          <w:p>
            <w:pPr>
              <w:pStyle w:val="Compact"/>
            </w:pPr>
            <w:r>
              <w:t xml:space="preserve">Not a prohibition of jewelry but a prioritization; the contrast is between what is visible and what is lasting</w:t>
            </w:r>
          </w:p>
        </w:tc>
      </w:tr>
      <w:tr>
        <w:tc>
          <w:tcPr/>
          <w:p>
            <w:pPr>
              <w:pStyle w:val="Compact"/>
            </w:pPr>
            <w:r>
              <w:t xml:space="preserve">3:5–6</w:t>
            </w:r>
          </w:p>
        </w:tc>
        <w:tc>
          <w:tcPr/>
          <w:p>
            <w:pPr>
              <w:pStyle w:val="Compact"/>
            </w:pPr>
            <w:r>
              <w:t xml:space="preserve">Grounded in the example of holy women of old, specifically Sarah who called Abraham</w:t>
            </w:r>
            <w:r>
              <w:t xml:space="preserve"> </w:t>
            </w:r>
            <w:r>
              <w:t xml:space="preserve">“lord”</w:t>
            </w:r>
            <w:r>
              <w:t xml:space="preserve"> </w:t>
            </w:r>
            <w:r>
              <w:t xml:space="preserve">— daughters of Sarah if they do good and do not fear</w:t>
            </w:r>
          </w:p>
        </w:tc>
        <w:tc>
          <w:tcPr/>
          <w:p>
            <w:pPr>
              <w:pStyle w:val="Compact"/>
            </w:pPr>
            <w:r>
              <w:t xml:space="preserve">The explicit</w:t>
            </w:r>
            <w:r>
              <w:t xml:space="preserve"> </w:t>
            </w:r>
            <w:r>
              <w:t xml:space="preserve">“do not fear”</w:t>
            </w:r>
            <w:r>
              <w:t xml:space="preserve"> </w:t>
            </w:r>
            <w:r>
              <w:t xml:space="preserve">at the end of v. 6 connects this section to the chapter’s overarching fear/fearlessness theme</w:t>
            </w:r>
          </w:p>
        </w:tc>
      </w:tr>
      <w:tr>
        <w:tc>
          <w:tcPr/>
          <w:p>
            <w:pPr>
              <w:pStyle w:val="Compact"/>
            </w:pPr>
            <w:r>
              <w:t xml:space="preserve">3:7</w:t>
            </w:r>
          </w:p>
        </w:tc>
        <w:tc>
          <w:tcPr/>
          <w:p>
            <w:pPr>
              <w:pStyle w:val="Compact"/>
            </w:pPr>
            <w:r>
              <w:t xml:space="preserve">Husbands called to live with wives in an understanding way, honoring them as weaker vessels and co-heirs of grace</w:t>
            </w:r>
          </w:p>
        </w:tc>
        <w:tc>
          <w:tcPr/>
          <w:p>
            <w:pPr>
              <w:pStyle w:val="Compact"/>
            </w:pPr>
            <w:r>
              <w:t xml:space="preserve">Two grounds: the wife’s relative vulnerability (physical/social) and her equal spiritual dignity; failure here hinders prayers</w:t>
            </w:r>
          </w:p>
        </w:tc>
      </w:tr>
      <w:tr>
        <w:tc>
          <w:tcPr/>
          <w:p>
            <w:pPr>
              <w:pStyle w:val="Compact"/>
            </w:pPr>
            <w:r>
              <w:t xml:space="preserve">3:8</w:t>
            </w:r>
          </w:p>
        </w:tc>
        <w:tc>
          <w:tcPr/>
          <w:p>
            <w:pPr>
              <w:pStyle w:val="Compact"/>
            </w:pPr>
            <w:r>
              <w:t xml:space="preserve">Summary ethics for all: unity, sympathy, brotherly love, tender heart, humble mind</w:t>
            </w:r>
          </w:p>
        </w:tc>
        <w:tc>
          <w:tcPr/>
          <w:p>
            <w:pPr>
              <w:pStyle w:val="Compact"/>
            </w:pPr>
            <w:r>
              <w:t xml:space="preserve">“Finally”</w:t>
            </w:r>
            <w:r>
              <w:t xml:space="preserve"> </w:t>
            </w:r>
            <w:r>
              <w:t xml:space="preserve">signals a pivot to the whole community; these are not new instructions but an epitome of 1 Peter’s communal ethics</w:t>
            </w:r>
          </w:p>
        </w:tc>
      </w:tr>
      <w:tr>
        <w:tc>
          <w:tcPr/>
          <w:p>
            <w:pPr>
              <w:pStyle w:val="Compact"/>
            </w:pPr>
            <w:r>
              <w:t xml:space="preserve">3:9</w:t>
            </w:r>
          </w:p>
        </w:tc>
        <w:tc>
          <w:tcPr/>
          <w:p>
            <w:pPr>
              <w:pStyle w:val="Compact"/>
            </w:pPr>
            <w:r>
              <w:t xml:space="preserve">Non-retaliation: do not repay evil for evil or reviling for reviling, but bless</w:t>
            </w:r>
          </w:p>
        </w:tc>
        <w:tc>
          <w:tcPr/>
          <w:p>
            <w:pPr>
              <w:pStyle w:val="Compact"/>
            </w:pPr>
            <w:r>
              <w:t xml:space="preserve">The positive form: not merely restraint but active blessing; inherit a blessing by giving one</w:t>
            </w:r>
          </w:p>
        </w:tc>
      </w:tr>
      <w:tr>
        <w:tc>
          <w:tcPr/>
          <w:p>
            <w:pPr>
              <w:pStyle w:val="Compact"/>
            </w:pPr>
            <w:r>
              <w:t xml:space="preserve">3:10–12</w:t>
            </w:r>
          </w:p>
        </w:tc>
        <w:tc>
          <w:tcPr/>
          <w:p>
            <w:pPr>
              <w:pStyle w:val="Compact"/>
            </w:pPr>
            <w:r>
              <w:t xml:space="preserve">Psalm 34 citation — the one who desires life and good days must pursue peace; the LORD’s eyes and ears are toward the righteous</w:t>
            </w:r>
          </w:p>
        </w:tc>
        <w:tc>
          <w:tcPr/>
          <w:p>
            <w:pPr>
              <w:pStyle w:val="Compact"/>
            </w:pPr>
            <w:r>
              <w:t xml:space="preserve">The OT grounds the ethics: these behaviors are not social strategy but participation in the covenant life of those whom God watches over</w:t>
            </w:r>
          </w:p>
        </w:tc>
      </w:tr>
      <w:tr>
        <w:tc>
          <w:tcPr/>
          <w:p>
            <w:pPr>
              <w:pStyle w:val="Compact"/>
            </w:pPr>
            <w:r>
              <w:t xml:space="preserve">3:13</w:t>
            </w:r>
          </w:p>
        </w:tc>
        <w:tc>
          <w:tcPr/>
          <w:p>
            <w:pPr>
              <w:pStyle w:val="Compact"/>
            </w:pPr>
            <w:r>
              <w:t xml:space="preserve">Rhetorical question: who will harm you if you are zealous for what is good?</w:t>
            </w:r>
          </w:p>
        </w:tc>
        <w:tc>
          <w:tcPr/>
          <w:p>
            <w:pPr>
              <w:pStyle w:val="Compact"/>
            </w:pPr>
            <w:r>
              <w:t xml:space="preserve">Not a promise of immunity but an argument that genuine goodness disarms most opposition; the</w:t>
            </w:r>
            <w:r>
              <w:t xml:space="preserve"> </w:t>
            </w:r>
            <w:r>
              <w:t xml:space="preserve">“if”</w:t>
            </w:r>
            <w:r>
              <w:t xml:space="preserve"> </w:t>
            </w:r>
            <w:r>
              <w:t xml:space="preserve">of v. 14 acknowledges exceptions</w:t>
            </w:r>
          </w:p>
        </w:tc>
      </w:tr>
      <w:tr>
        <w:tc>
          <w:tcPr/>
          <w:p>
            <w:pPr>
              <w:pStyle w:val="Compact"/>
            </w:pPr>
            <w:r>
              <w:t xml:space="preserve">3:14</w:t>
            </w:r>
          </w:p>
        </w:tc>
        <w:tc>
          <w:tcPr/>
          <w:p>
            <w:pPr>
              <w:pStyle w:val="Compact"/>
            </w:pPr>
            <w:r>
              <w:t xml:space="preserve">“Even if you should suffer for righteousness’ sake, you will be blessed”</w:t>
            </w:r>
            <w:r>
              <w:t xml:space="preserve"> </w:t>
            </w:r>
            <w:r>
              <w:t xml:space="preserve">— do not fear what they fear or be troubled</w:t>
            </w:r>
          </w:p>
        </w:tc>
        <w:tc>
          <w:tcPr/>
          <w:p>
            <w:pPr>
              <w:pStyle w:val="Compact"/>
            </w:pPr>
            <w:r>
              <w:t xml:space="preserve">Echo of Isaiah 8:12–13; beatitude structure (</w:t>
            </w:r>
            <w:r>
              <w:t xml:space="preserve">“blessed”</w:t>
            </w:r>
            <w:r>
              <w:t xml:space="preserve">) connects suffering for righteousness to the Sermon on the Mount</w:t>
            </w:r>
          </w:p>
        </w:tc>
      </w:tr>
      <w:tr>
        <w:tc>
          <w:tcPr/>
          <w:p>
            <w:pPr>
              <w:pStyle w:val="Compact"/>
            </w:pPr>
            <w:r>
              <w:t xml:space="preserve">3:15a</w:t>
            </w:r>
          </w:p>
        </w:tc>
        <w:tc>
          <w:tcPr/>
          <w:p>
            <w:pPr>
              <w:pStyle w:val="Compact"/>
            </w:pPr>
            <w:r>
              <w:t xml:space="preserve">“In your hearts set apart Christ as Lord”</w:t>
            </w:r>
          </w:p>
        </w:tc>
        <w:tc>
          <w:tcPr/>
          <w:p>
            <w:pPr>
              <w:pStyle w:val="Compact"/>
            </w:pPr>
            <w:r>
              <w:t xml:space="preserve">The positive command that is the heart of the section — and arguably the heart of the chapter; sanctify/set apart (</w:t>
            </w:r>
            <w:r>
              <w:rPr>
                <w:i/>
                <w:iCs/>
              </w:rPr>
              <w:t xml:space="preserve">hagiazō</w:t>
            </w:r>
            <w:r>
              <w:t xml:space="preserve">) — this is not merely intellectual assent but a posture of settled allegiance</w:t>
            </w:r>
          </w:p>
        </w:tc>
      </w:tr>
      <w:tr>
        <w:tc>
          <w:tcPr/>
          <w:p>
            <w:pPr>
              <w:pStyle w:val="Compact"/>
            </w:pPr>
            <w:r>
              <w:t xml:space="preserve">3:15b</w:t>
            </w:r>
          </w:p>
        </w:tc>
        <w:tc>
          <w:tcPr/>
          <w:p>
            <w:pPr>
              <w:pStyle w:val="Compact"/>
            </w:pPr>
            <w:r>
              <w:t xml:space="preserve">Always be prepared to give a defense (</w:t>
            </w:r>
            <w:r>
              <w:rPr>
                <w:i/>
                <w:iCs/>
              </w:rPr>
              <w:t xml:space="preserve">apologia</w:t>
            </w:r>
            <w:r>
              <w:t xml:space="preserve">) to anyone who asks for a reason for the hope within you</w:t>
            </w:r>
          </w:p>
        </w:tc>
        <w:tc>
          <w:tcPr/>
          <w:p>
            <w:pPr>
              <w:pStyle w:val="Compact"/>
            </w:pPr>
            <w:r>
              <w:t xml:space="preserve">Witness arises from a recognizable hope — people ask because they see something different; the defense is of</w:t>
            </w:r>
            <w:r>
              <w:t xml:space="preserve"> </w:t>
            </w:r>
            <w:r>
              <w:t xml:space="preserve">“hope,”</w:t>
            </w:r>
            <w:r>
              <w:t xml:space="preserve"> </w:t>
            </w:r>
            <w:r>
              <w:t xml:space="preserve">not merely doctrine</w:t>
            </w:r>
          </w:p>
        </w:tc>
      </w:tr>
      <w:tr>
        <w:tc>
          <w:tcPr/>
          <w:p>
            <w:pPr>
              <w:pStyle w:val="Compact"/>
            </w:pPr>
            <w:r>
              <w:t xml:space="preserve">3:15c–16</w:t>
            </w:r>
          </w:p>
        </w:tc>
        <w:tc>
          <w:tcPr/>
          <w:p>
            <w:pPr>
              <w:pStyle w:val="Compact"/>
            </w:pPr>
            <w:r>
              <w:t xml:space="preserve">Yet do it with gentleness and respect, keeping a good conscience</w:t>
            </w:r>
          </w:p>
        </w:tc>
        <w:tc>
          <w:tcPr/>
          <w:p>
            <w:pPr>
              <w:pStyle w:val="Compact"/>
            </w:pPr>
            <w:r>
              <w:t xml:space="preserve">The manner of the apologia mirrors the conduct of the wives — not argument that defeats but behavior that disarms</w:t>
            </w:r>
          </w:p>
        </w:tc>
      </w:tr>
      <w:tr>
        <w:tc>
          <w:tcPr/>
          <w:p>
            <w:pPr>
              <w:pStyle w:val="Compact"/>
            </w:pPr>
            <w:r>
              <w:t xml:space="preserve">3:17</w:t>
            </w:r>
          </w:p>
        </w:tc>
        <w:tc>
          <w:tcPr/>
          <w:p>
            <w:pPr>
              <w:pStyle w:val="Compact"/>
            </w:pPr>
            <w:r>
              <w:t xml:space="preserve">It is better to suffer for doing good than for doing evil, if God so wills</w:t>
            </w:r>
          </w:p>
        </w:tc>
        <w:tc>
          <w:tcPr/>
          <w:p>
            <w:pPr>
              <w:pStyle w:val="Compact"/>
            </w:pPr>
            <w:r>
              <w:t xml:space="preserve">“If God so wills”</w:t>
            </w:r>
            <w:r>
              <w:t xml:space="preserve"> </w:t>
            </w:r>
            <w:r>
              <w:t xml:space="preserve">— suffering is within God’s sovereign purpose, not outside it; this is not fatalism but confidence</w:t>
            </w:r>
          </w:p>
        </w:tc>
      </w:tr>
      <w:tr>
        <w:tc>
          <w:tcPr/>
          <w:p>
            <w:pPr>
              <w:pStyle w:val="Compact"/>
            </w:pPr>
            <w:r>
              <w:t xml:space="preserve">3:18</w:t>
            </w:r>
          </w:p>
        </w:tc>
        <w:tc>
          <w:tcPr/>
          <w:p>
            <w:pPr>
              <w:pStyle w:val="Compact"/>
            </w:pPr>
            <w:r>
              <w:t xml:space="preserve">Christ suffered once for sins, the righteous for the unrighteous, to bring us to God — put to death in the flesh, made alive in the Spirit</w:t>
            </w:r>
          </w:p>
        </w:tc>
        <w:tc>
          <w:tcPr/>
          <w:p>
            <w:pPr>
              <w:pStyle w:val="Compact"/>
            </w:pPr>
            <w:r>
              <w:t xml:space="preserve">The Christological anchor;</w:t>
            </w:r>
            <w:r>
              <w:t xml:space="preserve"> </w:t>
            </w:r>
            <w:r>
              <w:t xml:space="preserve">“once for sins”</w:t>
            </w:r>
            <w:r>
              <w:t xml:space="preserve"> </w:t>
            </w:r>
            <w:r>
              <w:t xml:space="preserve">— the once-for-all sufficiency of his atonement;</w:t>
            </w:r>
            <w:r>
              <w:t xml:space="preserve"> </w:t>
            </w:r>
            <w:r>
              <w:t xml:space="preserve">“righteous for the unrighteous”</w:t>
            </w:r>
            <w:r>
              <w:t xml:space="preserve"> </w:t>
            </w:r>
            <w:r>
              <w:t xml:space="preserve">— the substitutionary character</w:t>
            </w:r>
          </w:p>
        </w:tc>
      </w:tr>
      <w:tr>
        <w:tc>
          <w:tcPr/>
          <w:p>
            <w:pPr>
              <w:pStyle w:val="Compact"/>
            </w:pPr>
            <w:r>
              <w:t xml:space="preserve">3:19–20</w:t>
            </w:r>
          </w:p>
        </w:tc>
        <w:tc>
          <w:tcPr/>
          <w:p>
            <w:pPr>
              <w:pStyle w:val="Compact"/>
            </w:pPr>
            <w:r>
              <w:t xml:space="preserve">In/through whom he went and proclaimed to the spirits in prison — those who were disobedient in the days of Noah</w:t>
            </w:r>
          </w:p>
        </w:tc>
        <w:tc>
          <w:tcPr/>
          <w:p>
            <w:pPr>
              <w:pStyle w:val="Compact"/>
            </w:pPr>
            <w:r>
              <w:t xml:space="preserve">Exegetically contested; connects the sufficiency of Christ’s work to the furthest reaches of redemptive history</w:t>
            </w:r>
          </w:p>
        </w:tc>
      </w:tr>
      <w:tr>
        <w:tc>
          <w:tcPr/>
          <w:p>
            <w:pPr>
              <w:pStyle w:val="Compact"/>
            </w:pPr>
            <w:r>
              <w:t xml:space="preserve">3:20–21</w:t>
            </w:r>
          </w:p>
        </w:tc>
        <w:tc>
          <w:tcPr/>
          <w:p>
            <w:pPr>
              <w:pStyle w:val="Compact"/>
            </w:pPr>
            <w:r>
              <w:t xml:space="preserve">Eight souls saved through water — baptism corresponds to this, saves you as a pledge of a good conscience toward God, through the resurrection of Christ</w:t>
            </w:r>
          </w:p>
        </w:tc>
        <w:tc>
          <w:tcPr/>
          <w:p>
            <w:pPr>
              <w:pStyle w:val="Compact"/>
            </w:pPr>
            <w:r>
              <w:t xml:space="preserve">The flood/baptism typology; baptism saves not as water-rite but as covenantal pledge, grounded in resurrection</w:t>
            </w:r>
          </w:p>
        </w:tc>
      </w:tr>
      <w:tr>
        <w:tc>
          <w:tcPr/>
          <w:p>
            <w:pPr>
              <w:pStyle w:val="Compact"/>
            </w:pPr>
            <w:r>
              <w:t xml:space="preserve">3:22</w:t>
            </w:r>
          </w:p>
        </w:tc>
        <w:tc>
          <w:tcPr/>
          <w:p>
            <w:pPr>
              <w:pStyle w:val="Compact"/>
            </w:pPr>
            <w:r>
              <w:t xml:space="preserve">Christ has gone into heaven and is at the right hand of God, with angels and authorities and powers subject to him</w:t>
            </w:r>
          </w:p>
        </w:tc>
        <w:tc>
          <w:tcPr/>
          <w:p>
            <w:pPr>
              <w:pStyle w:val="Compact"/>
            </w:pPr>
            <w:r>
              <w:t xml:space="preserve">The exaltation statement that closes the chapter — and grounds everything that precedes it; all the powers that threaten are already under Christ’s feet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3:1–6</w:t>
            </w:r>
          </w:p>
        </w:tc>
        <w:tc>
          <w:tcPr/>
          <w:p>
            <w:pPr>
              <w:pStyle w:val="Compact"/>
            </w:pPr>
            <w:r>
              <w:t xml:space="preserve">Holy Conduct in the Household: Winning Without Words</w:t>
            </w:r>
          </w:p>
        </w:tc>
      </w:tr>
      <w:tr>
        <w:tc>
          <w:tcPr/>
          <w:p>
            <w:pPr>
              <w:pStyle w:val="Compact"/>
            </w:pPr>
            <w:r>
              <w:t xml:space="preserve">2</w:t>
            </w:r>
          </w:p>
        </w:tc>
        <w:tc>
          <w:tcPr/>
          <w:p>
            <w:pPr>
              <w:pStyle w:val="Compact"/>
            </w:pPr>
            <w:r>
              <w:t xml:space="preserve">3:7</w:t>
            </w:r>
          </w:p>
        </w:tc>
        <w:tc>
          <w:tcPr/>
          <w:p>
            <w:pPr>
              <w:pStyle w:val="Compact"/>
            </w:pPr>
            <w:r>
              <w:t xml:space="preserve">Honor in the Household: The Husband’s Corresponding Duty</w:t>
            </w:r>
          </w:p>
        </w:tc>
      </w:tr>
      <w:tr>
        <w:tc>
          <w:tcPr/>
          <w:p>
            <w:pPr>
              <w:pStyle w:val="Compact"/>
            </w:pPr>
            <w:r>
              <w:t xml:space="preserve">3</w:t>
            </w:r>
          </w:p>
        </w:tc>
        <w:tc>
          <w:tcPr/>
          <w:p>
            <w:pPr>
              <w:pStyle w:val="Compact"/>
            </w:pPr>
            <w:r>
              <w:t xml:space="preserve">3:8–12</w:t>
            </w:r>
          </w:p>
        </w:tc>
        <w:tc>
          <w:tcPr/>
          <w:p>
            <w:pPr>
              <w:pStyle w:val="Compact"/>
            </w:pPr>
            <w:r>
              <w:t xml:space="preserve">Holy Conduct in the Community: The Ethics of the Fearless People of God</w:t>
            </w:r>
          </w:p>
        </w:tc>
      </w:tr>
      <w:tr>
        <w:tc>
          <w:tcPr/>
          <w:p>
            <w:pPr>
              <w:pStyle w:val="Compact"/>
            </w:pPr>
            <w:r>
              <w:t xml:space="preserve">4</w:t>
            </w:r>
          </w:p>
        </w:tc>
        <w:tc>
          <w:tcPr/>
          <w:p>
            <w:pPr>
              <w:pStyle w:val="Compact"/>
            </w:pPr>
            <w:r>
              <w:t xml:space="preserve">3:13–17</w:t>
            </w:r>
          </w:p>
        </w:tc>
        <w:tc>
          <w:tcPr/>
          <w:p>
            <w:pPr>
              <w:pStyle w:val="Compact"/>
            </w:pPr>
            <w:r>
              <w:t xml:space="preserve">Holy Conduct Before the World: Fearless, Hope-Grounded Witness</w:t>
            </w:r>
          </w:p>
        </w:tc>
      </w:tr>
      <w:tr>
        <w:tc>
          <w:tcPr/>
          <w:p>
            <w:pPr>
              <w:pStyle w:val="Compact"/>
            </w:pPr>
            <w:r>
              <w:t xml:space="preserve">5</w:t>
            </w:r>
          </w:p>
        </w:tc>
        <w:tc>
          <w:tcPr/>
          <w:p>
            <w:pPr>
              <w:pStyle w:val="Compact"/>
            </w:pPr>
            <w:r>
              <w:t xml:space="preserve">3:18–22</w:t>
            </w:r>
          </w:p>
        </w:tc>
        <w:tc>
          <w:tcPr/>
          <w:p>
            <w:pPr>
              <w:pStyle w:val="Compact"/>
            </w:pPr>
            <w:r>
              <w:t xml:space="preserve">The Christological Ground: Christ’s Suffering, Exaltation, and Universal Lordship</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Fearless, hope-grounded conduct in suffering flows from Christ’s lordship over all things.</w:t>
      </w:r>
    </w:p>
    <w:p>
      <w:pPr>
        <w:pStyle w:val="BodyText"/>
      </w:pPr>
      <w:r>
        <w:rPr>
          <w:b/>
          <w:bCs/>
        </w:rPr>
        <w:t xml:space="preserve">Primary Claim:</w:t>
      </w:r>
      <w:r>
        <w:t xml:space="preserve"> </w:t>
      </w:r>
      <w:r>
        <w:t xml:space="preserve">Because Christ has suffered for sins once for all, been raised, and been exalted over every authority, his people are freed from every fear that would silence their witness or corrupt their conduct — and they are called to live that freedom now, in their marriages, in their communities, and before a watching world.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Set apart Christ as Lord in the hidden place before it matters in the visible place.</w:t>
      </w:r>
      <w:r>
        <w:rPr>
          <w:b/>
          <w:bCs/>
        </w:rPr>
        <w:t xml:space="preserve"> </w:t>
      </w:r>
      <w:r>
        <w:rPr>
          <w:b/>
          <w:bCs/>
          <w:i/>
          <w:iCs/>
        </w:rPr>
        <w:t xml:space="preserve">(Mind/belief)</w:t>
      </w:r>
    </w:p>
    <w:p>
      <w:pPr>
        <w:pStyle w:val="BodyText"/>
      </w:pPr>
      <w:r>
        <w:t xml:space="preserve">Peter’s command in v. 15a —</w:t>
      </w:r>
      <w:r>
        <w:t xml:space="preserve"> </w:t>
      </w:r>
      <w:r>
        <w:t xml:space="preserve">“in your hearts set apart Christ as Lord”</w:t>
      </w:r>
      <w:r>
        <w:t xml:space="preserve"> </w:t>
      </w:r>
      <w:r>
        <w:t xml:space="preserve">— is the pivot of the entire chapter. Every failure of conduct that Peter addresses — the wife who nags rather than lives, the husband who dishonors, the believer who retaliates or goes silent under pressure — is a heart failure before it is a behavior failure. The heart that has not settled Christ’s lordship will manage its circumstances with whatever tools it has: argument, silence, anger, compliance, or withdrawal. The heart that has settled it will respond with the particular freedom Peter describes — gentleness without groveling, defense without defensiveness, suffering without bitterness. Examine what you actually trust when the pressure comes. That is where Christ’s lordship is either installed or displaced.</w:t>
      </w:r>
    </w:p>
    <w:p>
      <w:pPr>
        <w:pStyle w:val="BodyText"/>
      </w:pPr>
      <w:r>
        <w:rPr>
          <w:b/>
          <w:bCs/>
        </w:rPr>
        <w:t xml:space="preserve">2. Let your visible hope be legible enough that people ask about it.</w:t>
      </w:r>
      <w:r>
        <w:rPr>
          <w:b/>
          <w:bCs/>
        </w:rPr>
        <w:t xml:space="preserve"> </w:t>
      </w:r>
      <w:r>
        <w:rPr>
          <w:b/>
          <w:bCs/>
          <w:i/>
          <w:iCs/>
        </w:rPr>
        <w:t xml:space="preserve">(Affections/worship)</w:t>
      </w:r>
    </w:p>
    <w:p>
      <w:pPr>
        <w:pStyle w:val="BodyText"/>
      </w:pPr>
      <w:r>
        <w:t xml:space="preserve">The scenario in v. 15b presupposes something remarkable: that believers are living in a way that prompts questions from outsiders.</w:t>
      </w:r>
      <w:r>
        <w:t xml:space="preserve"> </w:t>
      </w:r>
      <w:r>
        <w:t xml:space="preserve">“Always be prepared to give a reason for the hope that is in you”</w:t>
      </w:r>
      <w:r>
        <w:t xml:space="preserve"> </w:t>
      </w:r>
      <w:r>
        <w:t xml:space="preserve">assumes that the hope is visible — that there is something observable about the believer’s demeanor, conduct, and response to suffering that stands out enough to provoke inquiry. This is not primarily a mandate to memorize an evangelistic outline; it is a call to inhabit your hope so genuinely that it leaks. Ask honestly: is there anything about my life — in how I face difficulty, how I treat my spouse, how I respond to injustice — that would prompt a non-believer to ask where it comes from? If not, the problem is not a lack of apologetics training; it is a hope that has not yet reached the surface of daily life.</w:t>
      </w:r>
    </w:p>
    <w:p>
      <w:pPr>
        <w:pStyle w:val="BodyText"/>
      </w:pPr>
      <w:r>
        <w:rPr>
          <w:b/>
          <w:bCs/>
        </w:rPr>
        <w:t xml:space="preserve">3. Stop retaliating — in the room and in your mind.</w:t>
      </w:r>
      <w:r>
        <w:rPr>
          <w:b/>
          <w:bCs/>
        </w:rPr>
        <w:t xml:space="preserve"> </w:t>
      </w:r>
      <w:r>
        <w:rPr>
          <w:b/>
          <w:bCs/>
          <w:i/>
          <w:iCs/>
        </w:rPr>
        <w:t xml:space="preserve">(Will/behavior)</w:t>
      </w:r>
    </w:p>
    <w:p>
      <w:pPr>
        <w:pStyle w:val="BodyText"/>
      </w:pPr>
      <w:r>
        <w:t xml:space="preserve">Peter’s call to non-retaliation in vv. 9–11 (</w:t>
      </w:r>
      <w:r>
        <w:t xml:space="preserve">“do not repay evil for evil or reviling for reviling, but bless”</w:t>
      </w:r>
      <w:r>
        <w:t xml:space="preserve">) covers both external behavior and the internal posture that precedes it. Retaliation in the room is obvious — the sharp reply, the withheld kindness, the calculated silence. But retaliation in the mind precedes all of it: the rehearsal of grievances, the construction of arguments for why you were right and they were wrong, the imagined future confrontation in which you finally say what needs to be said. Peter calls the community to turn from this at the root — not merely to restrain the tongue while the mind rehearses the case. The alternative he offers is not passive absorbing of wrong but active blessing — a posture that requires grace precisely because it contradicts the natural response. Identify one relationship in which you are currently retaliating internally. Begin there.</w:t>
      </w:r>
    </w:p>
    <w:p>
      <w:pPr>
        <w:pStyle w:val="BodyText"/>
      </w:pPr>
      <w:r>
        <w:rPr>
          <w:b/>
          <w:bCs/>
        </w:rPr>
        <w:t xml:space="preserve">4. Receive suffering for doing good as confirmation, not contradiction.</w:t>
      </w:r>
      <w:r>
        <w:rPr>
          <w:b/>
          <w:bCs/>
        </w:rPr>
        <w:t xml:space="preserve"> </w:t>
      </w:r>
      <w:r>
        <w:rPr>
          <w:b/>
          <w:bCs/>
          <w:i/>
          <w:iCs/>
        </w:rPr>
        <w:t xml:space="preserve">(Mind/belief)</w:t>
      </w:r>
    </w:p>
    <w:p>
      <w:pPr>
        <w:pStyle w:val="BodyText"/>
      </w:pPr>
      <w:r>
        <w:t xml:space="preserve">Peter says in v. 14 that suffering for righteousness’ sake brings blessing, and in v. 17 that it is</w:t>
      </w:r>
      <w:r>
        <w:t xml:space="preserve"> </w:t>
      </w:r>
      <w:r>
        <w:t xml:space="preserve">“better to suffer for doing good than for doing evil, if God so wills.”</w:t>
      </w:r>
      <w:r>
        <w:t xml:space="preserve"> </w:t>
      </w:r>
      <w:r>
        <w:t xml:space="preserve">The implied alternative is the temptation to interpret unjust suffering as evidence that God’s plan has misfired — that good conduct should produce good outcomes, and when it does not, something has gone wrong. This is the belief structure Peter is addressing beneath the conduct instructions. If you believe that faithful living should protect you from suffering, you will eventually stop living faithfully when it proves costly. Peter reframes the suffering: it is not the exception to the program; it is the program. Christ’s path ran through suffering to glory. His people walk the same road. Reframe the suffering you are currently experiencing — not as God’s failure to reward your faithfulness but as participation in the pattern your Lord established.</w:t>
      </w:r>
    </w:p>
    <w:p>
      <w:pPr>
        <w:pStyle w:val="BodyText"/>
      </w:pPr>
      <w:r>
        <w:rPr>
          <w:b/>
          <w:bCs/>
        </w:rPr>
        <w:t xml:space="preserve">5. Honor the people under your authority as genuine co-heirs of grace, not as instruments of your purposes.</w:t>
      </w:r>
      <w:r>
        <w:rPr>
          <w:b/>
          <w:bCs/>
        </w:rPr>
        <w:t xml:space="preserve"> </w:t>
      </w:r>
      <w:r>
        <w:rPr>
          <w:b/>
          <w:bCs/>
          <w:i/>
          <w:iCs/>
        </w:rPr>
        <w:t xml:space="preserve">(Affections/worship)</w:t>
      </w:r>
    </w:p>
    <w:p>
      <w:pPr>
        <w:pStyle w:val="BodyText"/>
      </w:pPr>
      <w:r>
        <w:t xml:space="preserve">Peter’s instruction to husbands in v. 7 names a specific failure pattern: treating the person under your authority as primarily a function of your household or your needs rather than as a fellow heir of the grace of life. This failure is not only a marital failure — it is a spiritual failure, and Peter signals its seriousness by connecting disordered honoring to hindered prayer. The husband who treats his wife as a resource will find his own communion with God disrupted. But the principle extends: every relationship of authority — parent and child, employer and employee, elder and congregation — carries the same risk. The person beneath your authority is not primarily your assistant; they are a full inheritor of the same grace you have received. Let the weight of that dignity govern how you speak to them, what you ask of them, and how you account for their needs. Begin with whoever is most easily instrumentalized in your current season.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Peter 3 teaches that the ground of all Christian conduct is not moral resolve but theological confidence — specifically, confidence in Christ’s completed work and universal lordship. The chapter’s Christological summit in vv. 18–22 is not an appendix to the ethical instructions; it is their foundation. Because Christ suffered once for sins (the once-for-all character of the atonement), because he was raised (the vindication of his righteousness), and because he now sits at God’s right hand with every authority subject to him (the scope of his cosmic lordship), his people are genuinely free — free from the fear of other people’s judgment, free from the need to retaliate, free from the management of circumstances through human strategies. The chapter also teaches that God’s eyes are on the righteous (Psalm 34, vv. 10–12) — that fearless conduct is not naïve exposure to harm but participation in a covenantal relationship with a God who is actively watchful. And it teaches the substitutionary, sufficient, relational character of the atonement: Christ suffered</w:t>
      </w:r>
      <w:r>
        <w:t xml:space="preserve"> </w:t>
      </w:r>
      <w:r>
        <w:t xml:space="preserve">“the righteous for the unrighteous, to bring us to God”</w:t>
      </w:r>
      <w:r>
        <w:t xml:space="preserve"> </w:t>
      </w:r>
      <w:r>
        <w:t xml:space="preserve">— three dimensions in one clause: the moral asymmetry of the exchange, the finality of the event, and the telos of the whole transaction.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concentrated display of the Reformed conviction that grace produces ethics — that the indicative of the gospel is always the ground of the imperative of godly conduct. Peter does not close with the Christological section as a reward for good behavior; he grounds the ethical instruction in it. The</w:t>
      </w:r>
      <w:r>
        <w:t xml:space="preserve"> </w:t>
      </w:r>
      <w:r>
        <w:t xml:space="preserve">“once for all”</w:t>
      </w:r>
      <w:r>
        <w:t xml:space="preserve"> </w:t>
      </w:r>
      <w:r>
        <w:t xml:space="preserve">of v. 18 (</w:t>
      </w:r>
      <w:r>
        <w:rPr>
          <w:i/>
          <w:iCs/>
        </w:rPr>
        <w:t xml:space="preserve">hapax</w:t>
      </w:r>
      <w:r>
        <w:t xml:space="preserve">) is the Reformed understanding of the sufficiency and finality of Christ’s atoning work — the finished work that needs no supplement and admits no rival. The exaltation of Christ over</w:t>
      </w:r>
      <w:r>
        <w:t xml:space="preserve"> </w:t>
      </w:r>
      <w:r>
        <w:t xml:space="preserve">“angels and authorities and powers”</w:t>
      </w:r>
      <w:r>
        <w:t xml:space="preserve"> </w:t>
      </w:r>
      <w:r>
        <w:t xml:space="preserve">(v. 22) is the basis for Paul’s identical claim in Ephesians 1 and Colossians 2 — a claim that the Reformation recovered against every mediating structure that claimed a share in Christ’s lordship. The covenant framework is visible in the baptism-and-flood typology: Peter reads the flood/ark event as a covenantal prefiguring of the salvation now enacted in Christ’s resurrection, consistent with the Reformed understanding of the unity of the covenant of grace across both testaments. And the chapter’s consistent anti-fear motif — sanctify Christ as Lord, do not fear their threats, do not be troubled — reflects the Reformed emphasis on assurance: the believer who knows that Christ is exalted over every power has no ultimate threat left to manage.</w:t>
      </w:r>
    </w:p>
    <w:p>
      <w:r>
        <w:pict>
          <v:rect style="width:0;height:1.5pt" o:hralign="center" o:hrstd="t" o:hr="t"/>
        </w:pict>
      </w:r>
    </w:p>
    <w:p>
      <w:pPr>
        <w:pStyle w:val="FirstParagraph"/>
      </w:pPr>
      <w:r>
        <w:rPr>
          <w:b/>
          <w:bCs/>
        </w:rPr>
        <w:t xml:space="preserve">Main Takeaway:</w:t>
      </w:r>
      <w:r>
        <w:t xml:space="preserve"> </w:t>
      </w:r>
      <w:r>
        <w:t xml:space="preserve">Christ has already suffered the sin, defeated the powers, and taken his seat over every authority that threatens you — which means the fear governing your marriage, your silenced witness, and your retaliatory instincts has no legitimate ground left. Set him apart as Lord in your heart, and then live like it is true.</w:t>
      </w:r>
    </w:p>
    <w:p>
      <w:r>
        <w:pict>
          <v:rect style="width:0;height:1.5pt" o:hralign="center" o:hrstd="t" o:hr="t"/>
        </w:pict>
      </w:r>
    </w:p>
    <w:bookmarkEnd w:id="17"/>
    <w:bookmarkStart w:id="18"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vv. 1–6 as a gender-roles text rather than a missional text.</w:t>
      </w:r>
      <w:r>
        <w:t xml:space="preserve"> </w:t>
      </w:r>
      <w:r>
        <w:t xml:space="preserve">The most common mishandling of the opening section is to spend the exposition on the structural question (submission — permanent or cultural?) while missing Peter’s actual burden: the evangelistic power of holy conduct. Peter is making a missional argument — that behavior without words can accomplish what words alone cannot. A sermon that ends with</w:t>
      </w:r>
      <w:r>
        <w:t xml:space="preserve"> </w:t>
      </w:r>
      <w:r>
        <w:t xml:space="preserve">“wives, submit to your husbands”</w:t>
      </w:r>
      <w:r>
        <w:t xml:space="preserve"> </w:t>
      </w:r>
      <w:r>
        <w:t xml:space="preserve">has heard the text’s means but missed its aim. The point is the winning of disobedient husbands through the visible beauty of godly conduct.</w:t>
      </w:r>
    </w:p>
    <w:p>
      <w:pPr>
        <w:numPr>
          <w:ilvl w:val="0"/>
          <w:numId w:val="1002"/>
        </w:numPr>
      </w:pPr>
      <w:r>
        <w:rPr>
          <w:b/>
          <w:bCs/>
        </w:rPr>
        <w:t xml:space="preserve">Allowing the exegetical crux of vv. 18–20 to swallow the sermon.</w:t>
      </w:r>
      <w:r>
        <w:t xml:space="preserve"> </w:t>
      </w:r>
      <w:r>
        <w:t xml:space="preserve">The</w:t>
      </w:r>
      <w:r>
        <w:t xml:space="preserve"> </w:t>
      </w:r>
      <w:r>
        <w:t xml:space="preserve">“spirits in prison”</w:t>
      </w:r>
      <w:r>
        <w:t xml:space="preserve"> </w:t>
      </w:r>
      <w:r>
        <w:t xml:space="preserve">passage is genuinely difficult, and a careful preacher will acknowledge the difficulty. But the passage’s function in Peter’s argument is clear regardless of the precise interpretation: Christ’s redemptive work and authority extend even to the deepest reaches of history, and his exaltation is unqualified. A sermon that spends its energy on the exegetical puzzle while never landing the Christological claim has let a subordinate difficulty displace the primary claim.</w:t>
      </w:r>
    </w:p>
    <w:p>
      <w:pPr>
        <w:numPr>
          <w:ilvl w:val="0"/>
          <w:numId w:val="1002"/>
        </w:numPr>
      </w:pPr>
      <w:r>
        <w:rPr>
          <w:b/>
          <w:bCs/>
        </w:rPr>
        <w:t xml:space="preserve">Treating v. 15b as primarily an apologetics training mandate.</w:t>
      </w:r>
      <w:r>
        <w:t xml:space="preserve"> </w:t>
      </w:r>
      <w:r>
        <w:t xml:space="preserve">“Always be prepared to give an answer”</w:t>
      </w:r>
      <w:r>
        <w:t xml:space="preserve"> </w:t>
      </w:r>
      <w:r>
        <w:t xml:space="preserve">is frequently extracted and used as a proof text for apologetics methodology, evangelism training programs, or worldview curricula. In context, the verse presupposes a visible, observable hope — people ask</w:t>
      </w:r>
      <w:r>
        <w:t xml:space="preserve"> </w:t>
      </w:r>
      <w:r>
        <w:rPr>
          <w:i/>
          <w:iCs/>
        </w:rPr>
        <w:t xml:space="preserve">because</w:t>
      </w:r>
      <w:r>
        <w:t xml:space="preserve"> </w:t>
      </w:r>
      <w:r>
        <w:t xml:space="preserve">they see something. Preaching the verse as an intellectual preparation mandate without addressing the prior question (is your hope legible?) misses the passage’s own sequence. The answer is not the starting point; the observable hope is.</w:t>
      </w:r>
    </w:p>
    <w:p>
      <w:pPr>
        <w:numPr>
          <w:ilvl w:val="0"/>
          <w:numId w:val="1002"/>
        </w:numPr>
      </w:pPr>
      <w:r>
        <w:rPr>
          <w:b/>
          <w:bCs/>
        </w:rPr>
        <w:t xml:space="preserve">Preaching the baptism passage (vv. 20–21) without attending to Peter’s own guard rails.</w:t>
      </w:r>
      <w:r>
        <w:t xml:space="preserve"> </w:t>
      </w:r>
      <w:r>
        <w:t xml:space="preserve">In one direction, preachers in traditions sympathetic to baptismal regeneration will press</w:t>
      </w:r>
      <w:r>
        <w:t xml:space="preserve"> </w:t>
      </w:r>
      <w:r>
        <w:t xml:space="preserve">“baptism now saves you”</w:t>
      </w:r>
      <w:r>
        <w:t xml:space="preserve"> </w:t>
      </w:r>
      <w:r>
        <w:t xml:space="preserve">beyond what Peter himself allows. In the other direction, preachers in traditions nervous about any connection between baptism and salvation will explain away the saving force of the verse. Peter himself constrains both:</w:t>
      </w:r>
      <w:r>
        <w:t xml:space="preserve"> </w:t>
      </w:r>
      <w:r>
        <w:t xml:space="preserve">“not the removal of dirt from the body, but the appeal/pledge of a good conscience toward God.”</w:t>
      </w:r>
      <w:r>
        <w:t xml:space="preserve"> </w:t>
      </w:r>
      <w:r>
        <w:t xml:space="preserve">The saving is real; the mechanism is the pledge enacted in the outward rite, grounded in Christ’s resurrection. Let Peter’s own qualification govern the preaching.</w:t>
      </w:r>
    </w:p>
    <w:p>
      <w:pPr>
        <w:numPr>
          <w:ilvl w:val="0"/>
          <w:numId w:val="1002"/>
        </w:numPr>
      </w:pPr>
      <w:r>
        <w:rPr>
          <w:b/>
          <w:bCs/>
        </w:rPr>
        <w:t xml:space="preserve">Failing to land the fear diagnosis.</w:t>
      </w:r>
      <w:r>
        <w:t xml:space="preserve"> </w:t>
      </w:r>
      <w:r>
        <w:t xml:space="preserve">Peter’s chapter is organized around fear — the fear that produces silence (v. 14), the fear that corrupts conduct in marriage (v. 6,</w:t>
      </w:r>
      <w:r>
        <w:t xml:space="preserve"> </w:t>
      </w:r>
      <w:r>
        <w:t xml:space="preserve">“do not give way to fear”</w:t>
      </w:r>
      <w:r>
        <w:t xml:space="preserve">), the fear of suffering’s apparent randomness (v. 17,</w:t>
      </w:r>
      <w:r>
        <w:t xml:space="preserve"> </w:t>
      </w:r>
      <w:r>
        <w:t xml:space="preserve">“if God so wills”</w:t>
      </w:r>
      <w:r>
        <w:t xml:space="preserve">). A sermon that covers the ethical instructions without naming the fear that drives their failures has addressed the symptoms without the disease. Every section of this chapter should be preached through the lens of:</w:t>
      </w:r>
      <w:r>
        <w:t xml:space="preserve"> </w:t>
      </w:r>
      <w:r>
        <w:rPr>
          <w:i/>
          <w:iCs/>
        </w:rPr>
        <w:t xml:space="preserve">what fear is operating here, and how does Christ’s exaltation displace it?</w:t>
      </w:r>
    </w:p>
    <w:p>
      <w:pPr>
        <w:numPr>
          <w:ilvl w:val="0"/>
          <w:numId w:val="1002"/>
        </w:numPr>
      </w:pPr>
      <w:r>
        <w:rPr>
          <w:b/>
          <w:bCs/>
        </w:rPr>
        <w:t xml:space="preserve">Moralistic application that bypasses the Christological ground.</w:t>
      </w:r>
      <w:r>
        <w:t xml:space="preserve"> </w:t>
      </w:r>
      <w:r>
        <w:t xml:space="preserve">The danger with this chapter’s rich ethical content — wives, husbands, community ethics, public witness — is that exposition produces a conduct checklist with Christ as the inspiring example rather than the exalted Lord. The applications then feel like burdens rather than freedoms. Every imperative in this chapter flows from vv. 18–22. Preach the imperatives only after the indicative has done its work. A congregation that has genuinely heard</w:t>
      </w:r>
      <w:r>
        <w:t xml:space="preserve"> </w:t>
      </w:r>
      <w:r>
        <w:t xml:space="preserve">“all authorities are subject to him”</w:t>
      </w:r>
      <w:r>
        <w:t xml:space="preserve"> </w:t>
      </w:r>
      <w:r>
        <w:t xml:space="preserve">will receive the conduct instructions very differently than a congregation that has only heard</w:t>
      </w:r>
      <w:r>
        <w:t xml:space="preserve"> </w:t>
      </w:r>
      <w:r>
        <w:t xml:space="preserve">“here is what you should do.”</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2026-07-14T21:08:30Z</dcterms:created>
  <dcterms:modified xsi:type="dcterms:W3CDTF">2026-07-14T21:08:30Z</dcterms:modified>
</cp:coreProperties>
</file>

<file path=docProps/custom.xml><?xml version="1.0" encoding="utf-8"?>
<Properties xmlns="http://schemas.openxmlformats.org/officeDocument/2006/custom-properties" xmlns:vt="http://schemas.openxmlformats.org/officeDocument/2006/docPropsVTypes"/>
</file>